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6782"/>
      </w:tblGrid>
      <w:tr w:rsidR="00F301E0" w14:paraId="1BD23150" w14:textId="77777777" w:rsidTr="00C05B0F">
        <w:tc>
          <w:tcPr>
            <w:tcW w:w="2234" w:type="dxa"/>
          </w:tcPr>
          <w:p w14:paraId="64618E09" w14:textId="77777777" w:rsidR="00F301E0" w:rsidRPr="002F78D8" w:rsidRDefault="00F301E0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8D8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  <w:p w14:paraId="0D92C97D" w14:textId="77777777" w:rsidR="00F301E0" w:rsidRPr="002F78D8" w:rsidRDefault="00F301E0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82" w:type="dxa"/>
          </w:tcPr>
          <w:p w14:paraId="53486832" w14:textId="21CD432A" w:rsidR="00F301E0" w:rsidRPr="002F78D8" w:rsidRDefault="00F301E0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Flood Risk Assessment</w:t>
            </w:r>
            <w:r w:rsidR="00C05B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Surface Water Flooding</w:t>
            </w:r>
          </w:p>
        </w:tc>
      </w:tr>
      <w:tr w:rsidR="00F301E0" w14:paraId="75832CC0" w14:textId="77777777" w:rsidTr="00C05B0F">
        <w:tc>
          <w:tcPr>
            <w:tcW w:w="2234" w:type="dxa"/>
          </w:tcPr>
          <w:p w14:paraId="69BA9A29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/ PARTNERS</w:t>
            </w:r>
          </w:p>
        </w:tc>
        <w:tc>
          <w:tcPr>
            <w:tcW w:w="6782" w:type="dxa"/>
          </w:tcPr>
          <w:p w14:paraId="36B8F767" w14:textId="4149E96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5244FB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5B0F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C05B0F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ouncil, </w:t>
            </w:r>
            <w:r w:rsidR="005244FB">
              <w:rPr>
                <w:rFonts w:ascii="Arial" w:hAnsi="Arial" w:cs="Arial"/>
                <w:sz w:val="24"/>
                <w:szCs w:val="24"/>
              </w:rPr>
              <w:t>Lead Local Flood Authority (county or unitary council)</w:t>
            </w:r>
            <w:r w:rsidR="00C05B0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Environment Agency</w:t>
            </w:r>
            <w:r w:rsidR="00C05B0F">
              <w:rPr>
                <w:rFonts w:ascii="Arial" w:hAnsi="Arial" w:cs="Arial"/>
                <w:sz w:val="24"/>
                <w:szCs w:val="24"/>
              </w:rPr>
              <w:t xml:space="preserve"> (EA)</w:t>
            </w:r>
            <w:r>
              <w:rPr>
                <w:rFonts w:ascii="Arial" w:hAnsi="Arial" w:cs="Arial"/>
                <w:sz w:val="24"/>
                <w:szCs w:val="24"/>
              </w:rPr>
              <w:t xml:space="preserve">, landowners, DEFRA funding and policy writing. </w:t>
            </w:r>
            <w:r w:rsidR="00466FD1">
              <w:rPr>
                <w:rFonts w:ascii="Arial" w:hAnsi="Arial" w:cs="Arial"/>
                <w:sz w:val="24"/>
                <w:szCs w:val="24"/>
              </w:rPr>
              <w:t xml:space="preserve">Highway agencies e.g. </w:t>
            </w:r>
            <w:r w:rsidR="00C05B0F">
              <w:rPr>
                <w:rFonts w:ascii="Arial" w:hAnsi="Arial" w:cs="Arial"/>
                <w:sz w:val="24"/>
                <w:szCs w:val="24"/>
              </w:rPr>
              <w:t>N</w:t>
            </w:r>
            <w:r w:rsidR="00466FD1">
              <w:rPr>
                <w:rFonts w:ascii="Arial" w:hAnsi="Arial" w:cs="Arial"/>
                <w:sz w:val="24"/>
                <w:szCs w:val="24"/>
              </w:rPr>
              <w:t xml:space="preserve">ational </w:t>
            </w:r>
            <w:r w:rsidR="00C05B0F">
              <w:rPr>
                <w:rFonts w:ascii="Arial" w:hAnsi="Arial" w:cs="Arial"/>
                <w:sz w:val="24"/>
                <w:szCs w:val="24"/>
              </w:rPr>
              <w:t>H</w:t>
            </w:r>
            <w:r w:rsidR="00466FD1">
              <w:rPr>
                <w:rFonts w:ascii="Arial" w:hAnsi="Arial" w:cs="Arial"/>
                <w:sz w:val="24"/>
                <w:szCs w:val="24"/>
              </w:rPr>
              <w:t xml:space="preserve">ighways. </w:t>
            </w:r>
          </w:p>
          <w:p w14:paraId="70F80275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:rsidRPr="00730AD3" w14:paraId="60AE877E" w14:textId="77777777" w:rsidTr="00C05B0F">
        <w:tc>
          <w:tcPr>
            <w:tcW w:w="2234" w:type="dxa"/>
          </w:tcPr>
          <w:p w14:paraId="4458B17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POWERS</w:t>
            </w:r>
          </w:p>
        </w:tc>
        <w:tc>
          <w:tcPr>
            <w:tcW w:w="6782" w:type="dxa"/>
          </w:tcPr>
          <w:p w14:paraId="199D1BD7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Spaces Act 1906 </w:t>
            </w:r>
          </w:p>
          <w:p w14:paraId="3B41D961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and Water Management Act 2010 – outlines strategies, funding and ownership aspects</w:t>
            </w:r>
          </w:p>
          <w:p w14:paraId="683D22A5" w14:textId="3C55DEBF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cannot carry out work or apply levies without lead local flood authority’s permission</w:t>
            </w:r>
            <w:r w:rsidR="005244F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404361" w14:textId="533DBAD9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Drainage Act 1991</w:t>
            </w:r>
            <w:r w:rsidR="00F40E51">
              <w:rPr>
                <w:rFonts w:ascii="Arial" w:hAnsi="Arial" w:cs="Arial"/>
                <w:sz w:val="24"/>
                <w:szCs w:val="24"/>
              </w:rPr>
              <w:t xml:space="preserve"> under section 94</w:t>
            </w:r>
          </w:p>
          <w:p w14:paraId="2C695A00" w14:textId="77777777" w:rsidR="00466FD1" w:rsidRPr="00730AD3" w:rsidRDefault="00466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23810E5E" w14:textId="77777777" w:rsidTr="00C05B0F">
        <w:tc>
          <w:tcPr>
            <w:tcW w:w="2234" w:type="dxa"/>
          </w:tcPr>
          <w:p w14:paraId="2290D04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SOURCES</w:t>
            </w:r>
          </w:p>
        </w:tc>
        <w:tc>
          <w:tcPr>
            <w:tcW w:w="6782" w:type="dxa"/>
          </w:tcPr>
          <w:p w14:paraId="4DDD3327" w14:textId="19621124" w:rsidR="00C407CE" w:rsidRDefault="00C407CE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0721E5">
              <w:rPr>
                <w:rFonts w:ascii="Arial" w:hAnsi="Arial" w:cs="Arial"/>
                <w:sz w:val="24"/>
                <w:szCs w:val="24"/>
              </w:rPr>
              <w:t xml:space="preserve">a flood is caused by an overflowing private drain it is the responsibility of the land owner to fix. </w:t>
            </w:r>
          </w:p>
          <w:p w14:paraId="57072ED3" w14:textId="3C6B3D9F" w:rsidR="00F301E0" w:rsidRDefault="000A2D25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</w:t>
            </w:r>
            <w:r w:rsidR="006B253C">
              <w:rPr>
                <w:rFonts w:ascii="Arial" w:hAnsi="Arial" w:cs="Arial"/>
                <w:sz w:val="24"/>
                <w:szCs w:val="24"/>
              </w:rPr>
              <w:t xml:space="preserve"> through DEFRA. </w:t>
            </w:r>
          </w:p>
          <w:p w14:paraId="499C2679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 grants:</w:t>
            </w:r>
          </w:p>
          <w:p w14:paraId="067CD749" w14:textId="1CF69052" w:rsidR="00F301E0" w:rsidRDefault="00F301E0" w:rsidP="00F301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apply: you must send (a) either the FCERM 2 </w:t>
            </w:r>
            <w:r w:rsidR="00C05B0F">
              <w:rPr>
                <w:rFonts w:ascii="Arial" w:hAnsi="Arial" w:cs="Arial"/>
                <w:sz w:val="24"/>
                <w:szCs w:val="24"/>
              </w:rPr>
              <w:t xml:space="preserve">(Flood &amp; Coastal Erosion Risk Management) </w:t>
            </w:r>
            <w:r>
              <w:rPr>
                <w:rFonts w:ascii="Arial" w:hAnsi="Arial" w:cs="Arial"/>
                <w:sz w:val="24"/>
                <w:szCs w:val="24"/>
              </w:rPr>
              <w:t>or FCERM 7 (accessed from your local EA flood authority representative) along with (b) a completed Outline Business Case.</w:t>
            </w:r>
          </w:p>
          <w:p w14:paraId="6180C078" w14:textId="77777777" w:rsidR="00F301E0" w:rsidRDefault="00F301E0" w:rsidP="00F301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 Business Case – if project &lt; £3 million then single stage business case required; if project &gt; £3 million then three stage business case required. These must follow the </w:t>
            </w:r>
            <w:hyperlink r:id="rId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follow the </w:t>
            </w:r>
            <w:hyperlink r:id="rId6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5BD180" w14:textId="38C34756" w:rsidR="00696A70" w:rsidRPr="00696A70" w:rsidRDefault="00696A70" w:rsidP="00696A70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696A70">
                <w:rPr>
                  <w:rStyle w:val="Hyperlink"/>
                  <w:rFonts w:ascii="Arial" w:hAnsi="Arial" w:cs="Arial"/>
                  <w:kern w:val="2"/>
                  <w:sz w:val="24"/>
                  <w:szCs w:val="24"/>
                  <w14:ligatures w14:val="standardContextual"/>
                </w:rPr>
                <w:t>How best to align</w:t>
              </w:r>
              <w:r w:rsidRPr="00696A7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the funding processes with the various bodies involved in resolving flooding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– for more information on funding process. </w:t>
            </w:r>
          </w:p>
        </w:tc>
      </w:tr>
      <w:tr w:rsidR="00F301E0" w14:paraId="126DA43D" w14:textId="77777777" w:rsidTr="00C05B0F">
        <w:tc>
          <w:tcPr>
            <w:tcW w:w="2234" w:type="dxa"/>
          </w:tcPr>
          <w:p w14:paraId="2910F129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ADVICE / USEFUL CONTACTS</w:t>
            </w:r>
          </w:p>
        </w:tc>
        <w:tc>
          <w:tcPr>
            <w:tcW w:w="6782" w:type="dxa"/>
          </w:tcPr>
          <w:p w14:paraId="0A00708A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Agency.</w:t>
            </w:r>
          </w:p>
          <w:p w14:paraId="4DEA0BEA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Grants – </w:t>
            </w:r>
            <w:hyperlink r:id="rId8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26D7E92D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Management Alliance.</w:t>
            </w:r>
          </w:p>
          <w:p w14:paraId="054A2730" w14:textId="77777777" w:rsidR="00F301E0" w:rsidRDefault="00F301E0" w:rsidP="00F504D2">
            <w:hyperlink r:id="rId9" w:history="1"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>Riparian land owners rights and responsibilities</w:t>
              </w:r>
            </w:hyperlink>
          </w:p>
          <w:p w14:paraId="75B9E57C" w14:textId="77777777" w:rsidR="006B253C" w:rsidRDefault="00756782" w:rsidP="00F504D2">
            <w:hyperlink r:id="rId10" w:history="1">
              <w:r w:rsidRPr="00856474">
                <w:rPr>
                  <w:rStyle w:val="Hyperlink"/>
                  <w:rFonts w:ascii="Arial" w:hAnsi="Arial" w:cs="Arial"/>
                  <w:kern w:val="2"/>
                  <w:sz w:val="24"/>
                  <w:szCs w:val="24"/>
                  <w14:ligatures w14:val="standardContextual"/>
                </w:rPr>
                <w:t>Report of a review of the arrangements for determining responsibility for surface water and drainage assets</w:t>
              </w:r>
              <w:r w:rsidRPr="0085647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- </w:t>
              </w:r>
              <w:r w:rsidR="00856474" w:rsidRPr="00856474">
                <w:rPr>
                  <w:rStyle w:val="Hyperlink"/>
                  <w:rFonts w:ascii="Arial" w:hAnsi="Arial" w:cs="Arial"/>
                  <w:sz w:val="24"/>
                  <w:szCs w:val="24"/>
                </w:rPr>
                <w:t>DEFRA</w:t>
              </w:r>
            </w:hyperlink>
          </w:p>
          <w:p w14:paraId="44191CAB" w14:textId="49C5369E" w:rsidR="005244FB" w:rsidRDefault="005244FB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61E074BD" w14:textId="77777777" w:rsidTr="00C05B0F">
        <w:tc>
          <w:tcPr>
            <w:tcW w:w="2234" w:type="dxa"/>
          </w:tcPr>
          <w:p w14:paraId="13428304" w14:textId="77777777" w:rsidR="00F301E0" w:rsidRPr="00D57B1D" w:rsidRDefault="00F301E0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57B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782" w:type="dxa"/>
          </w:tcPr>
          <w:p w14:paraId="79A8F589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37EB51C4" w14:textId="77777777" w:rsidTr="00C05B0F">
        <w:tc>
          <w:tcPr>
            <w:tcW w:w="2234" w:type="dxa"/>
          </w:tcPr>
          <w:p w14:paraId="7AEB6D1E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  <w:p w14:paraId="34C61EC5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2F97439C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assessors:</w:t>
            </w:r>
          </w:p>
          <w:p w14:paraId="59097B8E" w14:textId="48798C5E" w:rsidR="00F301E0" w:rsidRDefault="00C05B0F" w:rsidP="00F301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firms include </w:t>
            </w:r>
            <w:r w:rsidR="00F301E0" w:rsidRPr="009841AA">
              <w:rPr>
                <w:rFonts w:ascii="Arial" w:hAnsi="Arial" w:cs="Arial"/>
                <w:sz w:val="24"/>
                <w:szCs w:val="24"/>
              </w:rPr>
              <w:t>Nimbus Engineering, ACCON UK, Unda Consulting, FPS Environmental, Gondolin Land &amp; Water, Aegaea, and RSK Group</w:t>
            </w:r>
            <w:r w:rsidR="00F301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586E70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and knowledge for completing Outline business case and FCERM forms.</w:t>
            </w:r>
          </w:p>
          <w:p w14:paraId="665F5C78" w14:textId="77777777" w:rsidR="00854C8E" w:rsidRDefault="00C047A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Drainage solutions on highways require collaboration with national highways during road closures</w:t>
            </w:r>
            <w:r w:rsidR="009432DA">
              <w:rPr>
                <w:rFonts w:ascii="Arial" w:hAnsi="Arial" w:cs="Arial"/>
                <w:sz w:val="24"/>
                <w:szCs w:val="24"/>
              </w:rPr>
              <w:t xml:space="preserve">, the local police if roads are being closed, local communities to give notice of road works. </w:t>
            </w:r>
          </w:p>
          <w:p w14:paraId="5BD5E627" w14:textId="374D354F" w:rsidR="005244FB" w:rsidRPr="00A83F79" w:rsidRDefault="005244FB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23B83383" w14:textId="77777777" w:rsidTr="00C05B0F">
        <w:tc>
          <w:tcPr>
            <w:tcW w:w="2234" w:type="dxa"/>
          </w:tcPr>
          <w:p w14:paraId="59AC9FBF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RESOURCES</w:t>
            </w:r>
          </w:p>
          <w:p w14:paraId="4E79508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1F134BB2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Registry for ownerships, </w:t>
            </w:r>
          </w:p>
          <w:p w14:paraId="424BC0C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1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6F2F9FAE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93D842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7393B1" w14:textId="77777777" w:rsidR="00343DCB" w:rsidRDefault="00343DCB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Drainage Boards for the local drainage district</w:t>
            </w:r>
            <w:r w:rsidR="00A938C8">
              <w:rPr>
                <w:rFonts w:ascii="Arial" w:hAnsi="Arial" w:cs="Arial"/>
                <w:sz w:val="24"/>
                <w:szCs w:val="24"/>
              </w:rPr>
              <w:t xml:space="preserve">. Under Section 25 Land Drainage Act 1991 </w:t>
            </w:r>
            <w:r w:rsidR="00512D42">
              <w:rPr>
                <w:rFonts w:ascii="Arial" w:hAnsi="Arial" w:cs="Arial"/>
                <w:sz w:val="24"/>
                <w:szCs w:val="24"/>
              </w:rPr>
              <w:t xml:space="preserve">hold the powers to require works to maintain a proper flow of water. </w:t>
            </w:r>
          </w:p>
          <w:p w14:paraId="1267E0FE" w14:textId="77777777" w:rsidR="004E141C" w:rsidRDefault="004E141C" w:rsidP="00F504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B39B0A" w14:textId="454F1389" w:rsidR="004E141C" w:rsidRDefault="004E141C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 the risk of surface water flooding </w:t>
            </w:r>
            <w:r w:rsidR="00AB5D96">
              <w:rPr>
                <w:rFonts w:ascii="Arial" w:hAnsi="Arial" w:cs="Arial"/>
                <w:sz w:val="24"/>
                <w:szCs w:val="24"/>
              </w:rPr>
              <w:t>and find out who your lead local flood authority is</w:t>
            </w:r>
            <w:r w:rsidR="001D4A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14" w:history="1">
              <w:r w:rsidRPr="006F428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https://check-long-term-flood-risk.service.gov.uk/postcode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0227E" w14:textId="5EF8DE11" w:rsidR="004E141C" w:rsidRDefault="004E141C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6E86E552" w14:textId="77777777" w:rsidTr="00C05B0F">
        <w:tc>
          <w:tcPr>
            <w:tcW w:w="2234" w:type="dxa"/>
          </w:tcPr>
          <w:p w14:paraId="6C9CE61B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MATERIALS</w:t>
            </w:r>
          </w:p>
          <w:p w14:paraId="5A347884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2A005092" w14:textId="3BF7D6E3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 on solutions</w:t>
            </w:r>
            <w:r w:rsidR="00100E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7D927B" w14:textId="6C5A2A38" w:rsidR="00100ED3" w:rsidRDefault="00100ED3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term and individual houses defences:</w:t>
            </w:r>
          </w:p>
          <w:p w14:paraId="691FCB1A" w14:textId="77777777" w:rsidR="00F301E0" w:rsidRDefault="00F301E0" w:rsidP="00F301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029B">
              <w:rPr>
                <w:rFonts w:ascii="Arial" w:hAnsi="Arial" w:cs="Arial"/>
                <w:sz w:val="24"/>
                <w:szCs w:val="24"/>
              </w:rPr>
              <w:t>Flood gates</w:t>
            </w:r>
          </w:p>
          <w:p w14:paraId="03BF8B07" w14:textId="77777777" w:rsidR="00F301E0" w:rsidRDefault="00F301E0" w:rsidP="00F301E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barriers</w:t>
            </w:r>
          </w:p>
          <w:p w14:paraId="78D7579B" w14:textId="393C49DB" w:rsidR="00204E66" w:rsidRDefault="00282542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warning system related to weather reports of high levels of rain. If councils are aware what locations within their district are vulnerable to surface water flooding</w:t>
            </w:r>
            <w:r w:rsidR="00204E66">
              <w:rPr>
                <w:rFonts w:ascii="Arial" w:hAnsi="Arial" w:cs="Arial"/>
                <w:sz w:val="24"/>
                <w:szCs w:val="24"/>
              </w:rPr>
              <w:t xml:space="preserve"> (see link above to determine vulnerable locations). </w:t>
            </w:r>
          </w:p>
          <w:p w14:paraId="23D647A2" w14:textId="6C2A67B4" w:rsidR="004E141C" w:rsidRPr="006B4562" w:rsidRDefault="004E141C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01E0" w14:paraId="46CDD8BA" w14:textId="77777777" w:rsidTr="00C05B0F">
        <w:tc>
          <w:tcPr>
            <w:tcW w:w="2234" w:type="dxa"/>
          </w:tcPr>
          <w:p w14:paraId="481861F7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</w:t>
            </w:r>
          </w:p>
          <w:p w14:paraId="6A731F36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5D815CB1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Landowners affected, planning authority, Environment Agency</w:t>
            </w:r>
          </w:p>
        </w:tc>
      </w:tr>
      <w:tr w:rsidR="00F301E0" w14:paraId="73604A9D" w14:textId="77777777" w:rsidTr="00C05B0F">
        <w:tc>
          <w:tcPr>
            <w:tcW w:w="2234" w:type="dxa"/>
          </w:tcPr>
          <w:p w14:paraId="62003D05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</w:t>
            </w:r>
          </w:p>
          <w:p w14:paraId="3E31E6C5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1B6EFA5F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assessors,</w:t>
            </w:r>
          </w:p>
          <w:p w14:paraId="53475A96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 to set up the flood defences (along with volunteers if possible)</w:t>
            </w:r>
            <w:r w:rsidR="0041782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B87CA15" w14:textId="405CEF9F" w:rsidR="0041782D" w:rsidRDefault="0041782D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National Highways. </w:t>
            </w:r>
          </w:p>
        </w:tc>
      </w:tr>
      <w:tr w:rsidR="00F301E0" w14:paraId="7BCAF20A" w14:textId="77777777" w:rsidTr="00C05B0F">
        <w:tc>
          <w:tcPr>
            <w:tcW w:w="2234" w:type="dxa"/>
          </w:tcPr>
          <w:p w14:paraId="501B51B6" w14:textId="77777777" w:rsidR="00F301E0" w:rsidRDefault="00F301E0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67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Steps to Success:</w:t>
            </w:r>
          </w:p>
          <w:p w14:paraId="431A8384" w14:textId="77777777" w:rsidR="00F301E0" w:rsidRDefault="00F301E0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6B3434F8" w14:textId="77777777" w:rsidR="00F301E0" w:rsidRDefault="00F301E0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4CE0FC03" w14:textId="77777777" w:rsidR="00F301E0" w:rsidRPr="00B067F6" w:rsidRDefault="00F301E0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82" w:type="dxa"/>
          </w:tcPr>
          <w:p w14:paraId="6E30EAE9" w14:textId="5C2F9AD7" w:rsidR="00F301E0" w:rsidRPr="0037482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you’re living in a flood risk zone</w:t>
            </w:r>
            <w:r w:rsidR="0041782D">
              <w:rPr>
                <w:rFonts w:ascii="Arial" w:hAnsi="Arial" w:cs="Arial"/>
                <w:sz w:val="24"/>
                <w:szCs w:val="24"/>
              </w:rPr>
              <w:t xml:space="preserve"> for surface water floods.</w:t>
            </w:r>
          </w:p>
          <w:p w14:paraId="65B0D518" w14:textId="5EBAD183" w:rsidR="00F301E0" w:rsidRDefault="0041782D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whether there are </w:t>
            </w:r>
            <w:r w:rsidR="0063264C">
              <w:rPr>
                <w:rFonts w:ascii="Arial" w:hAnsi="Arial" w:cs="Arial"/>
                <w:sz w:val="24"/>
                <w:szCs w:val="24"/>
              </w:rPr>
              <w:t>particular vulnerabilities</w:t>
            </w:r>
            <w:r w:rsidR="00DA6A61">
              <w:rPr>
                <w:rFonts w:ascii="Arial" w:hAnsi="Arial" w:cs="Arial"/>
                <w:sz w:val="24"/>
                <w:szCs w:val="24"/>
              </w:rPr>
              <w:t xml:space="preserve"> within the area:</w:t>
            </w:r>
          </w:p>
          <w:p w14:paraId="08F55E49" w14:textId="4909EDC7" w:rsidR="00DA6A61" w:rsidRDefault="002D351A" w:rsidP="00DA6A6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Infrastructure and development issues such as lack of soft ground such as grass</w:t>
            </w:r>
            <w:r w:rsidR="00B50499">
              <w:rPr>
                <w:rFonts w:ascii="Arial" w:hAnsi="Arial" w:cs="Arial"/>
                <w:sz w:val="24"/>
                <w:szCs w:val="24"/>
              </w:rPr>
              <w:t xml:space="preserve"> rather than concrete. </w:t>
            </w:r>
          </w:p>
          <w:p w14:paraId="4BEBDBA6" w14:textId="6F157374" w:rsidR="00F301E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 who is the landowner of relevant </w:t>
            </w:r>
            <w:r w:rsidR="00B50499">
              <w:rPr>
                <w:rFonts w:ascii="Arial" w:hAnsi="Arial" w:cs="Arial"/>
                <w:sz w:val="24"/>
                <w:szCs w:val="24"/>
              </w:rPr>
              <w:t>flooding zones and drains (if relevant)</w:t>
            </w:r>
            <w:r>
              <w:rPr>
                <w:rFonts w:ascii="Arial" w:hAnsi="Arial" w:cs="Arial"/>
                <w:sz w:val="24"/>
                <w:szCs w:val="24"/>
              </w:rPr>
              <w:t xml:space="preserve">. This will need to include any houses or </w:t>
            </w:r>
            <w:r w:rsidR="004C4FA2">
              <w:rPr>
                <w:rFonts w:ascii="Arial" w:hAnsi="Arial" w:cs="Arial"/>
                <w:sz w:val="24"/>
                <w:szCs w:val="24"/>
              </w:rPr>
              <w:t>roads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could become a new flood risk. Use HM Land Registry. </w:t>
            </w:r>
          </w:p>
          <w:p w14:paraId="325658A8" w14:textId="0ED34114" w:rsidR="00F301E0" w:rsidRDefault="004C4FA2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Reach out to lead local flood authority</w:t>
            </w:r>
            <w:r w:rsidR="007D7B2E">
              <w:rPr>
                <w:rFonts w:ascii="Arial" w:hAnsi="Arial" w:cs="Arial"/>
                <w:sz w:val="24"/>
                <w:szCs w:val="24"/>
              </w:rPr>
              <w:t xml:space="preserve"> and national highways to determine whether it is drainage responsibility. </w:t>
            </w:r>
          </w:p>
          <w:p w14:paraId="3593E758" w14:textId="77777777" w:rsidR="00F301E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Apply for EA permission to implement changes and EA funding for project. </w:t>
            </w:r>
          </w:p>
          <w:p w14:paraId="061EEB4C" w14:textId="77777777" w:rsidR="00F301E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permission from residents affected by flood defence implementation. </w:t>
            </w:r>
          </w:p>
          <w:p w14:paraId="44CA07BC" w14:textId="526C48F6" w:rsidR="007D7B2E" w:rsidRDefault="007D7B2E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permission from police to close roads to carry out work. </w:t>
            </w:r>
          </w:p>
          <w:p w14:paraId="6B356B4B" w14:textId="6DBE921C" w:rsidR="00F301E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flood defences</w:t>
            </w:r>
            <w:r w:rsidR="007D7B2E">
              <w:rPr>
                <w:rFonts w:ascii="Arial" w:hAnsi="Arial" w:cs="Arial"/>
                <w:sz w:val="24"/>
                <w:szCs w:val="24"/>
              </w:rPr>
              <w:t xml:space="preserve"> or hire contractors to carry out work.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620E49" w14:textId="77777777" w:rsidR="00F301E0" w:rsidRPr="00D51DF0" w:rsidRDefault="00F301E0" w:rsidP="00F301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Either using community volunteers or contractors set up flood defences. </w:t>
            </w:r>
          </w:p>
        </w:tc>
      </w:tr>
      <w:tr w:rsidR="00F301E0" w14:paraId="3893C2FC" w14:textId="77777777" w:rsidTr="00C05B0F">
        <w:tc>
          <w:tcPr>
            <w:tcW w:w="2234" w:type="dxa"/>
          </w:tcPr>
          <w:p w14:paraId="33B45CA6" w14:textId="77777777" w:rsidR="00F301E0" w:rsidRPr="00580D17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lastRenderedPageBreak/>
              <w:t>Greenhouse gas reduction/</w:t>
            </w:r>
          </w:p>
          <w:p w14:paraId="29531F41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 xml:space="preserve">Net Zero outcomes </w:t>
            </w:r>
          </w:p>
        </w:tc>
        <w:tc>
          <w:tcPr>
            <w:tcW w:w="6782" w:type="dxa"/>
          </w:tcPr>
          <w:p w14:paraId="74E2B702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Unlikely – perhaps the use of gates/barriers or natural solutions can reduce use of gasoline powered generators used for pumps during floods. </w:t>
            </w:r>
          </w:p>
        </w:tc>
      </w:tr>
      <w:tr w:rsidR="00F301E0" w14:paraId="6B05CFC1" w14:textId="77777777" w:rsidTr="00C05B0F">
        <w:tc>
          <w:tcPr>
            <w:tcW w:w="2234" w:type="dxa"/>
          </w:tcPr>
          <w:p w14:paraId="17AC0FBF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Adaptation and Resilience outcomes</w:t>
            </w:r>
          </w:p>
        </w:tc>
        <w:tc>
          <w:tcPr>
            <w:tcW w:w="6782" w:type="dxa"/>
          </w:tcPr>
          <w:p w14:paraId="3EE4CFD4" w14:textId="7D0CAA87" w:rsidR="00F301E0" w:rsidRDefault="004971C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Improved sustainable drainage solutions. </w:t>
            </w:r>
          </w:p>
        </w:tc>
      </w:tr>
      <w:tr w:rsidR="00F301E0" w14:paraId="2B590517" w14:textId="77777777" w:rsidTr="00C05B0F">
        <w:tc>
          <w:tcPr>
            <w:tcW w:w="2234" w:type="dxa"/>
          </w:tcPr>
          <w:p w14:paraId="590013DA" w14:textId="77777777" w:rsidR="00F301E0" w:rsidRPr="00580D17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Biodiversity/ Nature Recovery/</w:t>
            </w:r>
          </w:p>
          <w:p w14:paraId="73066C0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Ecosystem outcomes</w:t>
            </w:r>
          </w:p>
        </w:tc>
        <w:tc>
          <w:tcPr>
            <w:tcW w:w="6782" w:type="dxa"/>
          </w:tcPr>
          <w:p w14:paraId="586B66F1" w14:textId="4141C3F2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Saving habitats from being flooded. </w:t>
            </w:r>
          </w:p>
        </w:tc>
      </w:tr>
      <w:tr w:rsidR="00F301E0" w14:paraId="792993DC" w14:textId="77777777" w:rsidTr="00C05B0F">
        <w:tc>
          <w:tcPr>
            <w:tcW w:w="2234" w:type="dxa"/>
          </w:tcPr>
          <w:p w14:paraId="11251F85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Community/social outcomes</w:t>
            </w:r>
          </w:p>
          <w:p w14:paraId="5836F4D3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4F5B35BE" w14:textId="3690FAB2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Maintains communities transport and accessibility to towns/shops. </w:t>
            </w:r>
            <w:r w:rsidR="004971C0">
              <w:rPr>
                <w:rFonts w:ascii="Arial" w:hAnsi="Arial" w:cs="Arial"/>
                <w:sz w:val="24"/>
                <w:szCs w:val="24"/>
              </w:rPr>
              <w:t xml:space="preserve">Reduces risk of </w:t>
            </w:r>
            <w:r w:rsidR="0001685A">
              <w:rPr>
                <w:rFonts w:ascii="Arial" w:hAnsi="Arial" w:cs="Arial"/>
                <w:sz w:val="24"/>
                <w:szCs w:val="24"/>
              </w:rPr>
              <w:t xml:space="preserve">compromising road safety. Reduces risk of flooding damaging houses and infrastructure. </w:t>
            </w:r>
          </w:p>
        </w:tc>
      </w:tr>
      <w:tr w:rsidR="00F301E0" w14:paraId="4470C4E8" w14:textId="77777777" w:rsidTr="00C05B0F">
        <w:tc>
          <w:tcPr>
            <w:tcW w:w="2234" w:type="dxa"/>
          </w:tcPr>
          <w:p w14:paraId="4B1A56F5" w14:textId="77777777" w:rsidR="00F301E0" w:rsidRPr="00580D17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Economic implications</w:t>
            </w:r>
          </w:p>
          <w:p w14:paraId="4C86CE8B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6AAE86A8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cost but saving on flood recovery/damage. </w:t>
            </w:r>
          </w:p>
        </w:tc>
      </w:tr>
      <w:tr w:rsidR="00F301E0" w14:paraId="56F1BAB8" w14:textId="77777777" w:rsidTr="00C05B0F">
        <w:tc>
          <w:tcPr>
            <w:tcW w:w="2234" w:type="dxa"/>
          </w:tcPr>
          <w:p w14:paraId="353EC502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  <w:p w14:paraId="4418B791" w14:textId="77777777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2" w:type="dxa"/>
          </w:tcPr>
          <w:p w14:paraId="0347075A" w14:textId="001D05B4" w:rsidR="00F301E0" w:rsidRDefault="00F301E0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Depending on solutions. Community flood barriers will need to be set up each time required and packed away and stored afterwards. </w:t>
            </w:r>
            <w:r w:rsidR="0001685A">
              <w:rPr>
                <w:rFonts w:ascii="Arial" w:hAnsi="Arial" w:cs="Arial"/>
                <w:sz w:val="24"/>
                <w:szCs w:val="24"/>
              </w:rPr>
              <w:t xml:space="preserve">Drains </w:t>
            </w:r>
            <w:r w:rsidR="002172ED">
              <w:rPr>
                <w:rFonts w:ascii="Arial" w:hAnsi="Arial" w:cs="Arial"/>
                <w:sz w:val="24"/>
                <w:szCs w:val="24"/>
              </w:rPr>
              <w:t xml:space="preserve">will need to be routinely cleared. </w:t>
            </w:r>
          </w:p>
        </w:tc>
      </w:tr>
    </w:tbl>
    <w:p w14:paraId="0C3EE846" w14:textId="77777777" w:rsidR="00F301E0" w:rsidRDefault="00F301E0"/>
    <w:sectPr w:rsidR="00F3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21FEE"/>
    <w:multiLevelType w:val="hybridMultilevel"/>
    <w:tmpl w:val="CE289064"/>
    <w:lvl w:ilvl="0" w:tplc="EE32A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0610"/>
    <w:multiLevelType w:val="hybridMultilevel"/>
    <w:tmpl w:val="62BE8564"/>
    <w:lvl w:ilvl="0" w:tplc="DDD4A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07702">
    <w:abstractNumId w:val="1"/>
  </w:num>
  <w:num w:numId="2" w16cid:durableId="17953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A4"/>
    <w:rsid w:val="0001685A"/>
    <w:rsid w:val="00035E48"/>
    <w:rsid w:val="000721E5"/>
    <w:rsid w:val="000A2D25"/>
    <w:rsid w:val="00100ED3"/>
    <w:rsid w:val="00125B7D"/>
    <w:rsid w:val="001D4A53"/>
    <w:rsid w:val="00204E66"/>
    <w:rsid w:val="002172ED"/>
    <w:rsid w:val="00282542"/>
    <w:rsid w:val="002D351A"/>
    <w:rsid w:val="002D6E9B"/>
    <w:rsid w:val="00343DCB"/>
    <w:rsid w:val="0041782D"/>
    <w:rsid w:val="00434095"/>
    <w:rsid w:val="00466FD1"/>
    <w:rsid w:val="004971C0"/>
    <w:rsid w:val="004C4FA2"/>
    <w:rsid w:val="004E141C"/>
    <w:rsid w:val="00512D42"/>
    <w:rsid w:val="005244FB"/>
    <w:rsid w:val="00553EA4"/>
    <w:rsid w:val="005B3CD4"/>
    <w:rsid w:val="0063264C"/>
    <w:rsid w:val="00696A70"/>
    <w:rsid w:val="006B253C"/>
    <w:rsid w:val="00756782"/>
    <w:rsid w:val="00782554"/>
    <w:rsid w:val="007D7B2E"/>
    <w:rsid w:val="008501D5"/>
    <w:rsid w:val="00854C8E"/>
    <w:rsid w:val="00856474"/>
    <w:rsid w:val="008D5A2B"/>
    <w:rsid w:val="009432DA"/>
    <w:rsid w:val="009905E6"/>
    <w:rsid w:val="00A15CF2"/>
    <w:rsid w:val="00A318E7"/>
    <w:rsid w:val="00A938C8"/>
    <w:rsid w:val="00AB5D96"/>
    <w:rsid w:val="00B50499"/>
    <w:rsid w:val="00C047A1"/>
    <w:rsid w:val="00C05B0F"/>
    <w:rsid w:val="00C407CE"/>
    <w:rsid w:val="00C861C6"/>
    <w:rsid w:val="00DA6A61"/>
    <w:rsid w:val="00F301E0"/>
    <w:rsid w:val="00F4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66E5"/>
  <w15:chartTrackingRefBased/>
  <w15:docId w15:val="{A9B60AAF-CA31-423F-A8B4-962B897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E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E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E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E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EA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301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0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Tegen Dixon-Clarke</dc:creator>
  <cp:keywords/>
  <dc:description/>
  <cp:lastModifiedBy>Andrew Maliphant</cp:lastModifiedBy>
  <cp:revision>3</cp:revision>
  <dcterms:created xsi:type="dcterms:W3CDTF">2025-03-14T10:34:00Z</dcterms:created>
  <dcterms:modified xsi:type="dcterms:W3CDTF">2025-03-14T17:52:00Z</dcterms:modified>
</cp:coreProperties>
</file>